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AD" w:rsidRPr="00773CAD" w:rsidRDefault="00BA7F3B" w:rsidP="00773CAD">
      <w:pPr>
        <w:pStyle w:val="1"/>
        <w:spacing w:after="160"/>
        <w:textAlignment w:val="baseline"/>
        <w:rPr>
          <w:color w:val="3B4256"/>
          <w:sz w:val="32"/>
          <w:szCs w:val="32"/>
        </w:rPr>
      </w:pPr>
      <w:r w:rsidRPr="00773CAD">
        <w:rPr>
          <w:color w:val="3B4256"/>
          <w:sz w:val="32"/>
          <w:szCs w:val="32"/>
        </w:rPr>
        <w:t>Печное отопление по правилам пожарной безопасности</w:t>
      </w:r>
    </w:p>
    <w:p w:rsidR="00773CAD" w:rsidRPr="00773CAD" w:rsidRDefault="00773CAD" w:rsidP="00773CAD">
      <w:pPr>
        <w:jc w:val="center"/>
      </w:pPr>
      <w:r>
        <w:rPr>
          <w:noProof/>
        </w:rPr>
        <w:drawing>
          <wp:inline distT="0" distB="0" distL="0" distR="0">
            <wp:extent cx="4635500" cy="2893472"/>
            <wp:effectExtent l="19050" t="0" r="0" b="0"/>
            <wp:docPr id="1" name="Рисунок 1" descr="C:\Users\DUDKI_000\Desktop\mery-pozharnoy-bezopasnosti-pri-ekspluatacii-pechnogo-otopleniya_1633219221217916421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KI_000\Desktop\mery-pozharnoy-bezopasnosti-pri-ekspluatacii-pechnogo-otopleniya_1633219221217916421__2000x2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89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AD" w:rsidRPr="00773CAD" w:rsidRDefault="00773CAD" w:rsidP="00773CAD"/>
    <w:p w:rsidR="00BA7F3B" w:rsidRPr="00773CAD" w:rsidRDefault="00773CAD" w:rsidP="00773CAD">
      <w:pPr>
        <w:pStyle w:val="ad"/>
        <w:spacing w:before="0" w:beforeAutospacing="0" w:after="200" w:afterAutospacing="0"/>
        <w:jc w:val="both"/>
        <w:textAlignment w:val="baseline"/>
      </w:pPr>
      <w:r>
        <w:rPr>
          <w:color w:val="3B4256"/>
          <w:sz w:val="17"/>
          <w:szCs w:val="17"/>
        </w:rPr>
        <w:tab/>
      </w:r>
      <w:r w:rsidR="00BA7F3B" w:rsidRPr="00773CAD">
        <w:t xml:space="preserve">В связи с понижением температуры воздуха в ночное время, жители частных домовладений и владельцы дачных участков стали чаще использовать печное отопление, забывая при этом о соблюдении правил пожарной безопасности. Тревожные факты свидетельствуют о том, что при обращении с огнем люди проявляют не только неосторожность, но и преступную халатность, нередко приводящую к трагедии. </w:t>
      </w:r>
    </w:p>
    <w:p w:rsidR="00BA7F3B" w:rsidRPr="00773CAD" w:rsidRDefault="00773CAD" w:rsidP="00773CAD">
      <w:pPr>
        <w:pStyle w:val="ad"/>
        <w:spacing w:before="0" w:beforeAutospacing="0" w:after="0" w:afterAutospacing="0"/>
        <w:jc w:val="both"/>
        <w:textAlignment w:val="baseline"/>
      </w:pPr>
      <w:r w:rsidRPr="00773CAD">
        <w:tab/>
      </w:r>
      <w:r w:rsidR="00BA7F3B" w:rsidRPr="00773CAD">
        <w:t>Так ночью третьего января в с. Троицком Железногорского района  из-за нарушения требований пожарной безопасности при эксплуатации печного отопления сгорел дом. К счастью пожарные подоспели вовремя, жертв удалось избежать. </w:t>
      </w:r>
      <w:r w:rsidR="00BA7F3B" w:rsidRPr="00773CAD">
        <w:rPr>
          <w:rStyle w:val="ae"/>
          <w:bdr w:val="none" w:sz="0" w:space="0" w:color="auto" w:frame="1"/>
        </w:rPr>
        <w:t> </w:t>
      </w:r>
    </w:p>
    <w:p w:rsidR="00BA7F3B" w:rsidRPr="00773CAD" w:rsidRDefault="00773CAD" w:rsidP="00773CAD">
      <w:pPr>
        <w:pStyle w:val="ad"/>
        <w:spacing w:before="0" w:beforeAutospacing="0" w:after="200" w:afterAutospacing="0"/>
        <w:jc w:val="both"/>
        <w:textAlignment w:val="baseline"/>
      </w:pPr>
      <w:r w:rsidRPr="00773CAD">
        <w:tab/>
      </w:r>
      <w:r w:rsidR="00BA7F3B" w:rsidRPr="00773CAD">
        <w:t xml:space="preserve">В связи с этим  Отдел надзорной деятельности и профилактической работы по </w:t>
      </w:r>
      <w:r>
        <w:t xml:space="preserve">       </w:t>
      </w:r>
      <w:r w:rsidR="00BA7F3B" w:rsidRPr="00773CAD">
        <w:t>г. Железногорску и Железногорскому району обращается ко всем, кто имеет и эксплуатирует печи, напоминая о необходимости соблюдения мер пожарной безопасности при их эксплуатации. Проверяйте состояние печей: ликвидируйте появившиеся трещины, побелите дымоход, посмотрите - плотно ли закрывается дверца топки и есть ли перед топкой металлический лист. Кроме того, никогда не оставляйте печи без присмотра, не разрешайте разводить в них огонь детям, не растапливайте печи с помощью бензина и керосина. Соблюдая эти не сложные правила, вы сможете обезопасить от пожара свое жилье. Не пополняйте список тех, кто по собственной халатности, лишился своего дома или жизни!</w:t>
      </w:r>
    </w:p>
    <w:p w:rsidR="00BA7F3B" w:rsidRPr="00773CAD" w:rsidRDefault="00BA7F3B" w:rsidP="00BA7F3B">
      <w:pPr>
        <w:pStyle w:val="ad"/>
        <w:spacing w:before="0" w:beforeAutospacing="0" w:after="200" w:afterAutospacing="0"/>
        <w:jc w:val="center"/>
        <w:textAlignment w:val="baseline"/>
      </w:pPr>
      <w:r w:rsidRPr="00773CAD">
        <w:t>При эксплуатации печного отопления запрещается: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 оставлять без присмотра топящиеся печи, а также поручать надзор за ними малолетним детям;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 располагать топливо, другие горючие вещества и материалы на предтопочном листе;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 применять для розжига печей бензин, керосин, дизельное топливо;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 топить углем, коксом и газом печи, не предназначенные для этих видов топлива;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 использовать вентиляционные и газовые каналы в качестве дымоходов;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 перекаливать печь;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lastRenderedPageBreak/>
        <w:t>- зола и шлак, выгребаемые из топок, должны быть пролиты водой и удалены в специально отведенное для них безопасное место;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 установка металлических печей, не отвечающих требованиям пожарной безопасности, стандартов и технических условий, не допускается;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 при установке временных металлических и др. печей заводского изготовления в помещениях общежитий, административных, общественных и вспомогательных зданий предприятий, а также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</w:t>
      </w:r>
    </w:p>
    <w:p w:rsidR="00BA7F3B" w:rsidRPr="00773CAD" w:rsidRDefault="00BA7F3B" w:rsidP="00BA7F3B">
      <w:pPr>
        <w:pStyle w:val="ad"/>
        <w:spacing w:before="0" w:beforeAutospacing="0" w:after="200" w:afterAutospacing="0"/>
        <w:textAlignment w:val="baseline"/>
      </w:pPr>
      <w:r w:rsidRPr="00773CAD">
        <w:t>- на чердаках все дымовые трубы и стены, в которых проходят дымовые каналы, должны быть побелены.</w:t>
      </w:r>
    </w:p>
    <w:p w:rsidR="00BA7F3B" w:rsidRPr="00773CAD" w:rsidRDefault="00773CAD" w:rsidP="00773CAD">
      <w:pPr>
        <w:pStyle w:val="ad"/>
        <w:spacing w:before="0" w:beforeAutospacing="0" w:after="200" w:afterAutospacing="0"/>
        <w:jc w:val="both"/>
        <w:textAlignment w:val="baseline"/>
      </w:pPr>
      <w:r w:rsidRPr="00773CAD">
        <w:tab/>
      </w:r>
      <w:r w:rsidR="00BA7F3B" w:rsidRPr="00773CAD">
        <w:t>Огонь в печи не терпит легкомыслия: он может согреть ваш дом, а может сжечь его дотла. Станет он вашим другом или врагом - зависит от вас самих, от того, насколько строго вы выполняете правила пожарной безопасности.</w:t>
      </w:r>
    </w:p>
    <w:p w:rsidR="00BA7F3B" w:rsidRPr="00773CAD" w:rsidRDefault="00BA7F3B" w:rsidP="00773CAD">
      <w:pPr>
        <w:pStyle w:val="ad"/>
        <w:spacing w:before="0" w:beforeAutospacing="0" w:after="0" w:afterAutospacing="0"/>
        <w:jc w:val="both"/>
        <w:textAlignment w:val="baseline"/>
      </w:pPr>
      <w:r w:rsidRPr="00773CAD">
        <w:rPr>
          <w:rStyle w:val="ae"/>
          <w:bdr w:val="none" w:sz="0" w:space="0" w:color="auto" w:frame="1"/>
        </w:rPr>
        <w:t>В случае пожара незамедлительно сообщите о нём по телефону «101», «112».</w:t>
      </w:r>
    </w:p>
    <w:p w:rsidR="00BA7F3B" w:rsidRPr="00773CAD" w:rsidRDefault="00BA7F3B" w:rsidP="00773CAD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p w:rsidR="00BA7F3B" w:rsidRPr="00773CAD" w:rsidRDefault="00BA7F3B" w:rsidP="00865CA8">
      <w:pPr>
        <w:spacing w:line="360" w:lineRule="auto"/>
        <w:jc w:val="both"/>
        <w:rPr>
          <w:b/>
          <w:u w:val="single"/>
        </w:rPr>
      </w:pPr>
    </w:p>
    <w:sectPr w:rsidR="00BA7F3B" w:rsidRPr="00773CAD" w:rsidSect="003917ED">
      <w:footerReference w:type="default" r:id="rId9"/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93" w:rsidRDefault="00034993" w:rsidP="004130D1">
      <w:r>
        <w:separator/>
      </w:r>
    </w:p>
  </w:endnote>
  <w:endnote w:type="continuationSeparator" w:id="1">
    <w:p w:rsidR="00034993" w:rsidRDefault="00034993" w:rsidP="0041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3E" w:rsidRDefault="00AA7FAD">
    <w:pPr>
      <w:pStyle w:val="a6"/>
      <w:jc w:val="center"/>
    </w:pPr>
    <w:fldSimple w:instr=" PAGE   \* MERGEFORMAT ">
      <w:r w:rsidR="00773CAD">
        <w:rPr>
          <w:noProof/>
        </w:rPr>
        <w:t>1</w:t>
      </w:r>
    </w:fldSimple>
  </w:p>
  <w:p w:rsidR="006C533E" w:rsidRDefault="006C53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93" w:rsidRDefault="00034993" w:rsidP="004130D1">
      <w:r>
        <w:separator/>
      </w:r>
    </w:p>
  </w:footnote>
  <w:footnote w:type="continuationSeparator" w:id="1">
    <w:p w:rsidR="00034993" w:rsidRDefault="00034993" w:rsidP="00413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8DB"/>
    <w:rsid w:val="000177B3"/>
    <w:rsid w:val="00031E3D"/>
    <w:rsid w:val="00031FC4"/>
    <w:rsid w:val="000344C7"/>
    <w:rsid w:val="00034993"/>
    <w:rsid w:val="0003607C"/>
    <w:rsid w:val="000514DA"/>
    <w:rsid w:val="000813D0"/>
    <w:rsid w:val="000A7B31"/>
    <w:rsid w:val="000B5945"/>
    <w:rsid w:val="000C6530"/>
    <w:rsid w:val="000D6A28"/>
    <w:rsid w:val="000F5C7D"/>
    <w:rsid w:val="001120D7"/>
    <w:rsid w:val="00141015"/>
    <w:rsid w:val="0014762A"/>
    <w:rsid w:val="00147852"/>
    <w:rsid w:val="00165480"/>
    <w:rsid w:val="00177D02"/>
    <w:rsid w:val="00187BCB"/>
    <w:rsid w:val="001A2901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2F749A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6B84"/>
    <w:rsid w:val="003E5B99"/>
    <w:rsid w:val="003E7ADA"/>
    <w:rsid w:val="0041086F"/>
    <w:rsid w:val="004130D1"/>
    <w:rsid w:val="00414131"/>
    <w:rsid w:val="00420453"/>
    <w:rsid w:val="00423E4C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538C9"/>
    <w:rsid w:val="0076079F"/>
    <w:rsid w:val="0076191F"/>
    <w:rsid w:val="00763FB6"/>
    <w:rsid w:val="00772111"/>
    <w:rsid w:val="00773CAD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4257B"/>
    <w:rsid w:val="00950531"/>
    <w:rsid w:val="0095541F"/>
    <w:rsid w:val="00966454"/>
    <w:rsid w:val="00976A56"/>
    <w:rsid w:val="00985DB8"/>
    <w:rsid w:val="00987E15"/>
    <w:rsid w:val="009A1DD6"/>
    <w:rsid w:val="009A4A5C"/>
    <w:rsid w:val="009A6C8F"/>
    <w:rsid w:val="009A744E"/>
    <w:rsid w:val="009B7CC6"/>
    <w:rsid w:val="009C20FA"/>
    <w:rsid w:val="009D31B1"/>
    <w:rsid w:val="009E4073"/>
    <w:rsid w:val="009E6322"/>
    <w:rsid w:val="009E6A70"/>
    <w:rsid w:val="00A02F8A"/>
    <w:rsid w:val="00A04627"/>
    <w:rsid w:val="00A16854"/>
    <w:rsid w:val="00A269D9"/>
    <w:rsid w:val="00A42BCF"/>
    <w:rsid w:val="00A53B6E"/>
    <w:rsid w:val="00A5473C"/>
    <w:rsid w:val="00A54E8A"/>
    <w:rsid w:val="00A6143E"/>
    <w:rsid w:val="00A914B5"/>
    <w:rsid w:val="00AA2AC0"/>
    <w:rsid w:val="00AA3FF1"/>
    <w:rsid w:val="00AA7FAD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A7F3B"/>
    <w:rsid w:val="00BB0D21"/>
    <w:rsid w:val="00BB289B"/>
    <w:rsid w:val="00BD4D03"/>
    <w:rsid w:val="00BD7D6E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7296"/>
    <w:rsid w:val="00DD09C2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  <w:style w:type="paragraph" w:styleId="ad">
    <w:name w:val="Normal (Web)"/>
    <w:basedOn w:val="a"/>
    <w:uiPriority w:val="99"/>
    <w:unhideWhenUsed/>
    <w:rsid w:val="00BA7F3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A7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03AC-2797-4E85-9D13-84F36013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DUDKIN07@RAMBLER.RU</cp:lastModifiedBy>
  <cp:revision>6</cp:revision>
  <cp:lastPrinted>2014-07-28T01:53:00Z</cp:lastPrinted>
  <dcterms:created xsi:type="dcterms:W3CDTF">2015-01-29T03:12:00Z</dcterms:created>
  <dcterms:modified xsi:type="dcterms:W3CDTF">2024-01-04T06:48:00Z</dcterms:modified>
</cp:coreProperties>
</file>